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1C12" w:rsidRPr="00531C12" w:rsidRDefault="00531C12" w:rsidP="00531C12">
      <w:pPr>
        <w:shd w:val="clear" w:color="auto" w:fill="FFFFFF"/>
        <w:spacing w:before="150" w:after="0" w:line="240" w:lineRule="auto"/>
        <w:jc w:val="center"/>
        <w:outlineLvl w:val="0"/>
        <w:rPr>
          <w:rFonts w:eastAsia="Times New Roman" w:cs="Times New Roman"/>
          <w:b/>
          <w:bCs/>
          <w:kern w:val="36"/>
          <w:sz w:val="40"/>
          <w:szCs w:val="40"/>
          <w:u w:val="single"/>
        </w:rPr>
      </w:pPr>
      <w:r w:rsidRPr="00531C12">
        <w:rPr>
          <w:rFonts w:eastAsia="Times New Roman" w:cs="Times New Roman"/>
          <w:b/>
          <w:bCs/>
          <w:kern w:val="36"/>
          <w:sz w:val="40"/>
          <w:szCs w:val="40"/>
          <w:u w:val="single"/>
        </w:rPr>
        <w:t>Bổ sung thêm 03 quy định về giám sát việc giám hộ trong lĩnh vực hộ tịch từ 09/01/2025</w:t>
      </w:r>
    </w:p>
    <w:p w:rsidR="00531C12" w:rsidRPr="00531C12" w:rsidRDefault="00531C12" w:rsidP="00531C12">
      <w:pPr>
        <w:shd w:val="clear" w:color="auto" w:fill="FFFFFF"/>
        <w:spacing w:after="150" w:line="240" w:lineRule="auto"/>
        <w:jc w:val="both"/>
        <w:rPr>
          <w:rFonts w:eastAsia="Times New Roman" w:cs="Times New Roman"/>
          <w:szCs w:val="28"/>
        </w:rPr>
      </w:pPr>
    </w:p>
    <w:p w:rsidR="00531C12" w:rsidRPr="00531C12" w:rsidRDefault="00531C12" w:rsidP="00531C12">
      <w:pPr>
        <w:shd w:val="clear" w:color="auto" w:fill="FFFFFF"/>
        <w:spacing w:after="150" w:line="240" w:lineRule="auto"/>
        <w:ind w:firstLine="720"/>
        <w:jc w:val="both"/>
        <w:rPr>
          <w:rFonts w:eastAsia="Times New Roman" w:cs="Times New Roman"/>
          <w:szCs w:val="28"/>
        </w:rPr>
      </w:pPr>
      <w:bookmarkStart w:id="0" w:name="_GoBack"/>
      <w:bookmarkEnd w:id="0"/>
      <w:r w:rsidRPr="00531C12">
        <w:rPr>
          <w:rFonts w:eastAsia="Times New Roman" w:cs="Times New Roman"/>
          <w:szCs w:val="28"/>
        </w:rPr>
        <w:t>Ngày 09/01/2025, Chính phủ ban hành </w:t>
      </w:r>
      <w:hyperlink r:id="rId6" w:tgtFrame="_blank" w:history="1">
        <w:r w:rsidRPr="00531C12">
          <w:rPr>
            <w:rFonts w:eastAsia="Times New Roman" w:cs="Times New Roman"/>
            <w:szCs w:val="28"/>
          </w:rPr>
          <w:t>Nghị định 07/2025/NĐ-CP</w:t>
        </w:r>
      </w:hyperlink>
      <w:r w:rsidRPr="00531C12">
        <w:rPr>
          <w:rFonts w:eastAsia="Times New Roman" w:cs="Times New Roman"/>
          <w:szCs w:val="28"/>
        </w:rPr>
        <w:t> sửa đổi Nghị định trong lĩnh vực hộ tịch, quốc tịch, chứng thực.</w:t>
      </w:r>
    </w:p>
    <w:p w:rsidR="00531C12" w:rsidRPr="00531C12" w:rsidRDefault="00531C12" w:rsidP="00531C12">
      <w:pPr>
        <w:shd w:val="clear" w:color="auto" w:fill="FFFFFF"/>
        <w:spacing w:before="300" w:after="150" w:line="240" w:lineRule="auto"/>
        <w:jc w:val="both"/>
        <w:outlineLvl w:val="1"/>
        <w:rPr>
          <w:rFonts w:eastAsia="Times New Roman" w:cs="Times New Roman"/>
          <w:szCs w:val="28"/>
        </w:rPr>
      </w:pPr>
      <w:r w:rsidRPr="00531C12">
        <w:rPr>
          <w:rFonts w:eastAsia="Times New Roman" w:cs="Times New Roman"/>
          <w:b/>
          <w:bCs/>
          <w:szCs w:val="28"/>
        </w:rPr>
        <w:t>Bổ sung thêm 03 quy định về giám sát việc giám hộ trong lĩnh vực hộ tịch từ 09/01/2025</w:t>
      </w:r>
    </w:p>
    <w:p w:rsidR="00531C12" w:rsidRPr="00531C12" w:rsidRDefault="00531C12" w:rsidP="00531C12">
      <w:pPr>
        <w:shd w:val="clear" w:color="auto" w:fill="FFFFFF"/>
        <w:spacing w:after="150" w:line="240" w:lineRule="auto"/>
        <w:jc w:val="both"/>
        <w:rPr>
          <w:rFonts w:eastAsia="Times New Roman" w:cs="Times New Roman"/>
          <w:szCs w:val="28"/>
        </w:rPr>
      </w:pPr>
      <w:r w:rsidRPr="00531C12">
        <w:rPr>
          <w:rFonts w:eastAsia="Times New Roman" w:cs="Times New Roman"/>
          <w:szCs w:val="28"/>
        </w:rPr>
        <w:t>Theo đó, tại khoản 8 Điều 2 </w:t>
      </w:r>
      <w:hyperlink r:id="rId7" w:tgtFrame="_blank" w:history="1">
        <w:r w:rsidRPr="00531C12">
          <w:rPr>
            <w:rFonts w:eastAsia="Times New Roman" w:cs="Times New Roman"/>
            <w:szCs w:val="28"/>
          </w:rPr>
          <w:t>Nghị định 07/2025/NĐ-CP</w:t>
        </w:r>
      </w:hyperlink>
      <w:r w:rsidRPr="00531C12">
        <w:rPr>
          <w:rFonts w:eastAsia="Times New Roman" w:cs="Times New Roman"/>
          <w:szCs w:val="28"/>
        </w:rPr>
        <w:t> thì Chính phủ đã bổ sung thêm các quy định về giám sát việc giám hộ trong lĩnh vực hộ tịch vào mục 5 Chương 3 </w:t>
      </w:r>
      <w:hyperlink r:id="rId8" w:tgtFrame="_blank" w:history="1">
        <w:r w:rsidRPr="00531C12">
          <w:rPr>
            <w:rFonts w:eastAsia="Times New Roman" w:cs="Times New Roman"/>
            <w:szCs w:val="28"/>
          </w:rPr>
          <w:t>Nghị định 123/2015/NĐ-CP</w:t>
        </w:r>
      </w:hyperlink>
      <w:r w:rsidRPr="00531C12">
        <w:rPr>
          <w:rFonts w:eastAsia="Times New Roman" w:cs="Times New Roman"/>
          <w:szCs w:val="28"/>
        </w:rPr>
        <w:t> bao gồm:</w:t>
      </w:r>
    </w:p>
    <w:p w:rsidR="00531C12" w:rsidRPr="00531C12" w:rsidRDefault="00531C12" w:rsidP="00531C12">
      <w:pPr>
        <w:shd w:val="clear" w:color="auto" w:fill="FFFFFF"/>
        <w:spacing w:after="150" w:line="240" w:lineRule="auto"/>
        <w:jc w:val="both"/>
        <w:rPr>
          <w:rFonts w:eastAsia="Times New Roman" w:cs="Times New Roman"/>
          <w:szCs w:val="28"/>
        </w:rPr>
      </w:pPr>
      <w:r w:rsidRPr="00531C12">
        <w:rPr>
          <w:rFonts w:eastAsia="Times New Roman" w:cs="Times New Roman"/>
          <w:b/>
          <w:bCs/>
          <w:i/>
          <w:iCs/>
          <w:szCs w:val="28"/>
        </w:rPr>
        <w:t>(1) Thẩm quyền đăng ký giám sát việc giám hộ, đăng ký chấm dứt giám sát việc giám hộ</w:t>
      </w:r>
    </w:p>
    <w:p w:rsidR="00531C12" w:rsidRPr="00531C12" w:rsidRDefault="00531C12" w:rsidP="00531C12">
      <w:pPr>
        <w:shd w:val="clear" w:color="auto" w:fill="FFFFFF"/>
        <w:spacing w:after="150" w:line="240" w:lineRule="auto"/>
        <w:jc w:val="both"/>
        <w:rPr>
          <w:rFonts w:eastAsia="Times New Roman" w:cs="Times New Roman"/>
          <w:szCs w:val="28"/>
        </w:rPr>
      </w:pPr>
      <w:r w:rsidRPr="00531C12">
        <w:rPr>
          <w:rFonts w:eastAsia="Times New Roman" w:cs="Times New Roman"/>
          <w:szCs w:val="28"/>
        </w:rPr>
        <w:t>- Ủy ban nhân dân cấp xã nơi cư trú của người được giám hộ thực hiện đăng ký giám sát việc giám hộ.</w:t>
      </w:r>
    </w:p>
    <w:p w:rsidR="00531C12" w:rsidRPr="00531C12" w:rsidRDefault="00531C12" w:rsidP="00531C12">
      <w:pPr>
        <w:shd w:val="clear" w:color="auto" w:fill="FFFFFF"/>
        <w:spacing w:after="150" w:line="240" w:lineRule="auto"/>
        <w:jc w:val="both"/>
        <w:rPr>
          <w:rFonts w:eastAsia="Times New Roman" w:cs="Times New Roman"/>
          <w:szCs w:val="28"/>
        </w:rPr>
      </w:pPr>
      <w:r w:rsidRPr="00531C12">
        <w:rPr>
          <w:rFonts w:eastAsia="Times New Roman" w:cs="Times New Roman"/>
          <w:szCs w:val="28"/>
        </w:rPr>
        <w:t>- Ủy ban nhân dân cấp xã đã đăng ký giám sát việc giám hộ thực hiện đăng ký chấm dứt giám sát việc giám hộ.</w:t>
      </w:r>
    </w:p>
    <w:p w:rsidR="00531C12" w:rsidRPr="00531C12" w:rsidRDefault="00531C12" w:rsidP="00531C12">
      <w:pPr>
        <w:shd w:val="clear" w:color="auto" w:fill="FFFFFF"/>
        <w:spacing w:after="150" w:line="240" w:lineRule="auto"/>
        <w:jc w:val="both"/>
        <w:rPr>
          <w:rFonts w:eastAsia="Times New Roman" w:cs="Times New Roman"/>
          <w:szCs w:val="28"/>
        </w:rPr>
      </w:pPr>
      <w:r w:rsidRPr="00531C12">
        <w:rPr>
          <w:rFonts w:eastAsia="Times New Roman" w:cs="Times New Roman"/>
          <w:b/>
          <w:bCs/>
          <w:i/>
          <w:iCs/>
          <w:szCs w:val="28"/>
        </w:rPr>
        <w:t>(2) Thủ tục đăng ký giám sát việ</w:t>
      </w:r>
      <w:r w:rsidRPr="00531C12">
        <w:rPr>
          <w:rFonts w:eastAsia="Times New Roman" w:cs="Times New Roman"/>
          <w:b/>
          <w:bCs/>
          <w:szCs w:val="28"/>
        </w:rPr>
        <w:t>c giám hộ</w:t>
      </w:r>
    </w:p>
    <w:p w:rsidR="00531C12" w:rsidRPr="00531C12" w:rsidRDefault="00531C12" w:rsidP="00531C12">
      <w:pPr>
        <w:shd w:val="clear" w:color="auto" w:fill="FFFFFF"/>
        <w:spacing w:after="150" w:line="240" w:lineRule="auto"/>
        <w:jc w:val="both"/>
        <w:rPr>
          <w:rFonts w:eastAsia="Times New Roman" w:cs="Times New Roman"/>
          <w:szCs w:val="28"/>
        </w:rPr>
      </w:pPr>
      <w:r w:rsidRPr="00531C12">
        <w:rPr>
          <w:rFonts w:eastAsia="Times New Roman" w:cs="Times New Roman"/>
          <w:szCs w:val="28"/>
        </w:rPr>
        <w:t>- Người yêu cầu đăng ký giám sát việc giám hộ nộp Tờ khai đăng ký giám sát việc giám hộ theo mẫu quy định và văn bản là căn cứ chứng minh việc thỏa thuận cử/chọn người giám sát giám hộ theo quy định của </w:t>
      </w:r>
      <w:hyperlink r:id="rId9" w:tgtFrame="_blank" w:history="1">
        <w:r w:rsidRPr="00531C12">
          <w:rPr>
            <w:rFonts w:eastAsia="Times New Roman" w:cs="Times New Roman"/>
            <w:szCs w:val="28"/>
          </w:rPr>
          <w:t>Bộ luật Dân sự 2015</w:t>
        </w:r>
      </w:hyperlink>
      <w:r w:rsidRPr="00531C12">
        <w:rPr>
          <w:rFonts w:eastAsia="Times New Roman" w:cs="Times New Roman"/>
          <w:szCs w:val="28"/>
        </w:rPr>
        <w:t> cho cơ quan đăng ký hộ tịch có thẩm quyền.</w:t>
      </w:r>
    </w:p>
    <w:p w:rsidR="00531C12" w:rsidRPr="00531C12" w:rsidRDefault="00531C12" w:rsidP="00531C12">
      <w:pPr>
        <w:shd w:val="clear" w:color="auto" w:fill="FFFFFF"/>
        <w:spacing w:after="150" w:line="240" w:lineRule="auto"/>
        <w:jc w:val="both"/>
        <w:rPr>
          <w:rFonts w:eastAsia="Times New Roman" w:cs="Times New Roman"/>
          <w:szCs w:val="28"/>
        </w:rPr>
      </w:pPr>
      <w:r w:rsidRPr="00531C12">
        <w:rPr>
          <w:rFonts w:eastAsia="Times New Roman" w:cs="Times New Roman"/>
          <w:szCs w:val="28"/>
        </w:rPr>
        <w:t>- Trong thời hạn 03 ngày làm việc kể từ ngày tiếp nhận hồ sơ, nếu thấy đủ điều kiện theo quy định pháp luật thì công chức tư pháp - hộ tịch ghi vào Sổ hộ tịch, báo cáo Chủ tịch Ủy ban nhân dân cấp xã cấp trích lục cho người yêu cầu.</w:t>
      </w:r>
    </w:p>
    <w:p w:rsidR="00531C12" w:rsidRPr="00531C12" w:rsidRDefault="00531C12" w:rsidP="00531C12">
      <w:pPr>
        <w:shd w:val="clear" w:color="auto" w:fill="FFFFFF"/>
        <w:spacing w:after="150" w:line="240" w:lineRule="auto"/>
        <w:jc w:val="both"/>
        <w:rPr>
          <w:rFonts w:eastAsia="Times New Roman" w:cs="Times New Roman"/>
          <w:szCs w:val="28"/>
        </w:rPr>
      </w:pPr>
      <w:r w:rsidRPr="00531C12">
        <w:rPr>
          <w:rFonts w:eastAsia="Times New Roman" w:cs="Times New Roman"/>
          <w:szCs w:val="28"/>
        </w:rPr>
        <w:t>Trường hợp cần phải xác minh thì thời hạn giải quyết được kéo dài nhưng không quá 05 ngày làm việc kể từ ngày tiếp nhận hồ sơ.</w:t>
      </w:r>
    </w:p>
    <w:p w:rsidR="00531C12" w:rsidRPr="00531C12" w:rsidRDefault="00531C12" w:rsidP="00531C12">
      <w:pPr>
        <w:shd w:val="clear" w:color="auto" w:fill="FFFFFF"/>
        <w:spacing w:after="150" w:line="240" w:lineRule="auto"/>
        <w:jc w:val="both"/>
        <w:rPr>
          <w:rFonts w:eastAsia="Times New Roman" w:cs="Times New Roman"/>
          <w:szCs w:val="28"/>
        </w:rPr>
      </w:pPr>
      <w:r w:rsidRPr="00531C12">
        <w:rPr>
          <w:rFonts w:eastAsia="Times New Roman" w:cs="Times New Roman"/>
          <w:b/>
          <w:bCs/>
          <w:i/>
          <w:iCs/>
          <w:szCs w:val="28"/>
        </w:rPr>
        <w:t>(3) Thủ tục đăng ký chấm dứt giám sát việc giám hộ</w:t>
      </w:r>
    </w:p>
    <w:p w:rsidR="00531C12" w:rsidRPr="00531C12" w:rsidRDefault="00531C12" w:rsidP="00531C12">
      <w:pPr>
        <w:shd w:val="clear" w:color="auto" w:fill="FFFFFF"/>
        <w:spacing w:after="150" w:line="240" w:lineRule="auto"/>
        <w:jc w:val="both"/>
        <w:rPr>
          <w:rFonts w:eastAsia="Times New Roman" w:cs="Times New Roman"/>
          <w:szCs w:val="28"/>
        </w:rPr>
      </w:pPr>
      <w:r w:rsidRPr="00531C12">
        <w:rPr>
          <w:rFonts w:eastAsia="Times New Roman" w:cs="Times New Roman"/>
          <w:szCs w:val="28"/>
        </w:rPr>
        <w:t>- Người yêu cầu đăng ký chấm dứt giám sát việc giám hộ nộp Tờ khai đăng ký chấm dứt giám sát việc giám hộ theo mẫu quy định và giấy tờ là căn cứ chấm dứt giám sát việc giám hộ cho cơ quan đăng ký hộ tịch có thẩm quyền.</w:t>
      </w:r>
    </w:p>
    <w:p w:rsidR="00531C12" w:rsidRPr="00531C12" w:rsidRDefault="00531C12" w:rsidP="00531C12">
      <w:pPr>
        <w:shd w:val="clear" w:color="auto" w:fill="FFFFFF"/>
        <w:spacing w:after="150" w:line="240" w:lineRule="auto"/>
        <w:jc w:val="both"/>
        <w:rPr>
          <w:rFonts w:eastAsia="Times New Roman" w:cs="Times New Roman"/>
          <w:szCs w:val="28"/>
        </w:rPr>
      </w:pPr>
      <w:r w:rsidRPr="00531C12">
        <w:rPr>
          <w:rFonts w:eastAsia="Times New Roman" w:cs="Times New Roman"/>
          <w:szCs w:val="28"/>
        </w:rPr>
        <w:t>- Trình tự đăng ký chấm dứt giám sát việc giám hộ được thực hiện tương tự quy định tại khoản 2 Điều 28b </w:t>
      </w:r>
      <w:hyperlink r:id="rId10" w:tgtFrame="_blank" w:history="1">
        <w:r w:rsidRPr="00531C12">
          <w:rPr>
            <w:rFonts w:eastAsia="Times New Roman" w:cs="Times New Roman"/>
            <w:szCs w:val="28"/>
          </w:rPr>
          <w:t>Nghị định 123/2015/NĐ-CP</w:t>
        </w:r>
      </w:hyperlink>
      <w:r w:rsidRPr="00531C12">
        <w:rPr>
          <w:rFonts w:eastAsia="Times New Roman" w:cs="Times New Roman"/>
          <w:szCs w:val="28"/>
        </w:rPr>
        <w:t>.</w:t>
      </w:r>
    </w:p>
    <w:p w:rsidR="00531C12" w:rsidRPr="00531C12" w:rsidRDefault="00531C12" w:rsidP="00531C12">
      <w:pPr>
        <w:shd w:val="clear" w:color="auto" w:fill="FFFFFF"/>
        <w:spacing w:after="150" w:line="240" w:lineRule="auto"/>
        <w:jc w:val="both"/>
        <w:rPr>
          <w:rFonts w:eastAsia="Times New Roman" w:cs="Times New Roman"/>
          <w:szCs w:val="28"/>
        </w:rPr>
      </w:pPr>
      <w:r w:rsidRPr="00531C12">
        <w:rPr>
          <w:rFonts w:eastAsia="Times New Roman" w:cs="Times New Roman"/>
          <w:szCs w:val="28"/>
        </w:rPr>
        <w:lastRenderedPageBreak/>
        <w:t>- Tờ khai, các biểu mẫu Sổ, Trích lục hộ tịch liên quan đến đăng ký giám sát việc giám hộ, đăng ký chấm dứt giám sát việc giám hộ được ban hành theo Phụ lục kèm theo </w:t>
      </w:r>
      <w:hyperlink r:id="rId11" w:tgtFrame="_blank" w:history="1">
        <w:r w:rsidRPr="00531C12">
          <w:rPr>
            <w:rFonts w:eastAsia="Times New Roman" w:cs="Times New Roman"/>
            <w:szCs w:val="28"/>
          </w:rPr>
          <w:t>Nghị định 07/2025/NĐ-CP</w:t>
        </w:r>
      </w:hyperlink>
      <w:r w:rsidRPr="00531C12">
        <w:rPr>
          <w:rFonts w:eastAsia="Times New Roman" w:cs="Times New Roman"/>
          <w:szCs w:val="28"/>
        </w:rPr>
        <w:t>.</w:t>
      </w:r>
    </w:p>
    <w:p w:rsidR="00531C12" w:rsidRPr="00531C12" w:rsidRDefault="00531C12" w:rsidP="00531C12">
      <w:pPr>
        <w:shd w:val="clear" w:color="auto" w:fill="FFFFFF"/>
        <w:spacing w:before="300" w:after="150" w:line="240" w:lineRule="auto"/>
        <w:jc w:val="both"/>
        <w:outlineLvl w:val="1"/>
        <w:rPr>
          <w:rFonts w:eastAsia="Times New Roman" w:cs="Times New Roman"/>
          <w:szCs w:val="28"/>
        </w:rPr>
      </w:pPr>
      <w:r w:rsidRPr="00531C12">
        <w:rPr>
          <w:rFonts w:eastAsia="Times New Roman" w:cs="Times New Roman"/>
          <w:b/>
          <w:bCs/>
          <w:szCs w:val="28"/>
        </w:rPr>
        <w:t>Phương thức yêu cầu và tiếp nhận yêu cầu đăng ký hộ tịch</w:t>
      </w:r>
    </w:p>
    <w:p w:rsidR="00531C12" w:rsidRPr="00531C12" w:rsidRDefault="00531C12" w:rsidP="00531C12">
      <w:pPr>
        <w:shd w:val="clear" w:color="auto" w:fill="FFFFFF"/>
        <w:spacing w:after="150" w:line="240" w:lineRule="auto"/>
        <w:jc w:val="both"/>
        <w:rPr>
          <w:rFonts w:eastAsia="Times New Roman" w:cs="Times New Roman"/>
          <w:szCs w:val="28"/>
        </w:rPr>
      </w:pPr>
      <w:r w:rsidRPr="00531C12">
        <w:rPr>
          <w:rFonts w:eastAsia="Times New Roman" w:cs="Times New Roman"/>
          <w:szCs w:val="28"/>
        </w:rPr>
        <w:t>Phương thức yêu cầu và tiếp nhận yêu cầu đăng ký hộ tịch được quy định cụ thể tại Điều 9 </w:t>
      </w:r>
      <w:hyperlink r:id="rId12" w:tgtFrame="_blank" w:history="1">
        <w:r w:rsidRPr="00531C12">
          <w:rPr>
            <w:rFonts w:eastAsia="Times New Roman" w:cs="Times New Roman"/>
            <w:szCs w:val="28"/>
          </w:rPr>
          <w:t>Luật Hộ tịch 2014</w:t>
        </w:r>
      </w:hyperlink>
      <w:r w:rsidRPr="00531C12">
        <w:rPr>
          <w:rFonts w:eastAsia="Times New Roman" w:cs="Times New Roman"/>
          <w:szCs w:val="28"/>
        </w:rPr>
        <w:t> như sau:</w:t>
      </w:r>
    </w:p>
    <w:p w:rsidR="00531C12" w:rsidRPr="00531C12" w:rsidRDefault="00531C12" w:rsidP="00531C12">
      <w:pPr>
        <w:shd w:val="clear" w:color="auto" w:fill="FFFFFF"/>
        <w:spacing w:after="150" w:line="240" w:lineRule="auto"/>
        <w:jc w:val="both"/>
        <w:rPr>
          <w:rFonts w:eastAsia="Times New Roman" w:cs="Times New Roman"/>
          <w:szCs w:val="28"/>
        </w:rPr>
      </w:pPr>
      <w:r w:rsidRPr="00531C12">
        <w:rPr>
          <w:rFonts w:eastAsia="Times New Roman" w:cs="Times New Roman"/>
          <w:szCs w:val="28"/>
        </w:rPr>
        <w:t>- Khi yêu cầu đăng ký hộ tịch, cấp bản sao trích lục hộ tịch, cá nhân nộp hồ sơ trực tiếp cho cơ quan đăng ký hộ tịch hoặc gửi hồ sơ qua hệ thống bưu chính hoặc gửi qua hệ thống đăng ký hộ tịch trực tuyến.</w:t>
      </w:r>
    </w:p>
    <w:p w:rsidR="00531C12" w:rsidRPr="00531C12" w:rsidRDefault="00531C12" w:rsidP="00531C12">
      <w:pPr>
        <w:shd w:val="clear" w:color="auto" w:fill="FFFFFF"/>
        <w:spacing w:after="150" w:line="240" w:lineRule="auto"/>
        <w:jc w:val="both"/>
        <w:rPr>
          <w:rFonts w:eastAsia="Times New Roman" w:cs="Times New Roman"/>
          <w:szCs w:val="28"/>
        </w:rPr>
      </w:pPr>
      <w:r w:rsidRPr="00531C12">
        <w:rPr>
          <w:rFonts w:eastAsia="Times New Roman" w:cs="Times New Roman"/>
          <w:szCs w:val="28"/>
        </w:rPr>
        <w:t>- Khi làm thủ tục đăng ký hộ tịch, cấp bản sao trích lục hộ tịch từ Cơ sở dữ liệu hộ tịch, cá nhân xuất trình giấy tờ chứng minh nhân thân cho cơ quan đăng ký hộ tịch. Trường hợp gửi hồ sơ qua hệ thống bưu chính thì phải gửi kèm theo bản sao có chứng thực giấy tờ chứng minh nhân thân.</w:t>
      </w:r>
    </w:p>
    <w:p w:rsidR="00531C12" w:rsidRPr="00531C12" w:rsidRDefault="00531C12" w:rsidP="00531C12">
      <w:pPr>
        <w:shd w:val="clear" w:color="auto" w:fill="FFFFFF"/>
        <w:spacing w:after="150" w:line="240" w:lineRule="auto"/>
        <w:jc w:val="both"/>
        <w:rPr>
          <w:rFonts w:eastAsia="Times New Roman" w:cs="Times New Roman"/>
          <w:szCs w:val="28"/>
        </w:rPr>
      </w:pPr>
      <w:r w:rsidRPr="00531C12">
        <w:rPr>
          <w:rFonts w:eastAsia="Times New Roman" w:cs="Times New Roman"/>
          <w:szCs w:val="28"/>
        </w:rPr>
        <w:t>- Đối với những việc đăng ký hộ tịch có quy định thời hạn giải quyết, thì người tiếp nhận hồ sơ phải viết giấy tiếp nhận; trường hợp hồ sơ chưa đầy đủ, không hợp lệ thì phải hướng dẫn bằng văn bản để người đi đăng ký hộ tịch bổ sung, hoàn thiện. Văn bản hướng dẫn phải ghi đầy đủ, rõ ràng loại giấy tờ bổ sung.</w:t>
      </w:r>
    </w:p>
    <w:p w:rsidR="00531C12" w:rsidRPr="00531C12" w:rsidRDefault="00531C12" w:rsidP="00531C12">
      <w:pPr>
        <w:shd w:val="clear" w:color="auto" w:fill="FFFFFF"/>
        <w:spacing w:after="150" w:line="240" w:lineRule="auto"/>
        <w:jc w:val="both"/>
        <w:rPr>
          <w:rFonts w:eastAsia="Times New Roman" w:cs="Times New Roman"/>
          <w:szCs w:val="28"/>
        </w:rPr>
      </w:pPr>
      <w:r w:rsidRPr="00531C12">
        <w:rPr>
          <w:rFonts w:eastAsia="Times New Roman" w:cs="Times New Roman"/>
          <w:szCs w:val="28"/>
        </w:rPr>
        <w:t>Trường hợp người có yêu cầu nộp hồ sơ không đúng cơ quan đăng ký hộ tịch có thẩm quyền thì người tiếp nhận hướng dẫn người đi đăng ký hộ tịch đến cơ quan có thẩm quyền để nộp hồ sơ.</w:t>
      </w:r>
    </w:p>
    <w:p w:rsidR="00F30C59" w:rsidRPr="00531C12" w:rsidRDefault="00F30C59">
      <w:pPr>
        <w:rPr>
          <w:rFonts w:cs="Times New Roman"/>
          <w:szCs w:val="28"/>
        </w:rPr>
      </w:pPr>
    </w:p>
    <w:sectPr w:rsidR="00F30C59" w:rsidRPr="00531C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797254"/>
    <w:multiLevelType w:val="multilevel"/>
    <w:tmpl w:val="A79EE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46C2FCE"/>
    <w:multiLevelType w:val="multilevel"/>
    <w:tmpl w:val="61D0C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1C12"/>
    <w:rsid w:val="00531C12"/>
    <w:rsid w:val="00F30C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31C12"/>
    <w:pPr>
      <w:spacing w:before="100" w:beforeAutospacing="1" w:after="100" w:afterAutospacing="1" w:line="240" w:lineRule="auto"/>
      <w:outlineLvl w:val="0"/>
    </w:pPr>
    <w:rPr>
      <w:rFonts w:eastAsia="Times New Roman" w:cs="Times New Roman"/>
      <w:b/>
      <w:bCs/>
      <w:kern w:val="36"/>
      <w:sz w:val="48"/>
      <w:szCs w:val="48"/>
    </w:rPr>
  </w:style>
  <w:style w:type="paragraph" w:styleId="Heading2">
    <w:name w:val="heading 2"/>
    <w:basedOn w:val="Normal"/>
    <w:link w:val="Heading2Char"/>
    <w:uiPriority w:val="9"/>
    <w:qFormat/>
    <w:rsid w:val="00531C12"/>
    <w:pPr>
      <w:spacing w:before="100" w:beforeAutospacing="1" w:after="100" w:afterAutospacing="1" w:line="240" w:lineRule="auto"/>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1C12"/>
    <w:rPr>
      <w:rFonts w:eastAsia="Times New Roman" w:cs="Times New Roman"/>
      <w:b/>
      <w:bCs/>
      <w:kern w:val="36"/>
      <w:sz w:val="48"/>
      <w:szCs w:val="48"/>
    </w:rPr>
  </w:style>
  <w:style w:type="character" w:customStyle="1" w:styleId="Heading2Char">
    <w:name w:val="Heading 2 Char"/>
    <w:basedOn w:val="DefaultParagraphFont"/>
    <w:link w:val="Heading2"/>
    <w:uiPriority w:val="9"/>
    <w:rsid w:val="00531C12"/>
    <w:rPr>
      <w:rFonts w:eastAsia="Times New Roman" w:cs="Times New Roman"/>
      <w:b/>
      <w:bCs/>
      <w:sz w:val="36"/>
      <w:szCs w:val="36"/>
    </w:rPr>
  </w:style>
  <w:style w:type="character" w:styleId="Strong">
    <w:name w:val="Strong"/>
    <w:basedOn w:val="DefaultParagraphFont"/>
    <w:uiPriority w:val="22"/>
    <w:qFormat/>
    <w:rsid w:val="00531C12"/>
    <w:rPr>
      <w:b/>
      <w:bCs/>
    </w:rPr>
  </w:style>
  <w:style w:type="character" w:styleId="Hyperlink">
    <w:name w:val="Hyperlink"/>
    <w:basedOn w:val="DefaultParagraphFont"/>
    <w:uiPriority w:val="99"/>
    <w:semiHidden/>
    <w:unhideWhenUsed/>
    <w:rsid w:val="00531C12"/>
    <w:rPr>
      <w:color w:val="0000FF"/>
      <w:u w:val="single"/>
    </w:rPr>
  </w:style>
  <w:style w:type="character" w:customStyle="1" w:styleId="toctext">
    <w:name w:val="toctext"/>
    <w:basedOn w:val="DefaultParagraphFont"/>
    <w:rsid w:val="00531C12"/>
  </w:style>
  <w:style w:type="paragraph" w:styleId="NormalWeb">
    <w:name w:val="Normal (Web)"/>
    <w:basedOn w:val="Normal"/>
    <w:uiPriority w:val="99"/>
    <w:semiHidden/>
    <w:unhideWhenUsed/>
    <w:rsid w:val="00531C12"/>
    <w:pPr>
      <w:spacing w:before="100" w:beforeAutospacing="1" w:after="100" w:afterAutospacing="1" w:line="240" w:lineRule="auto"/>
    </w:pPr>
    <w:rPr>
      <w:rFonts w:eastAsia="Times New Roman" w:cs="Times New Roman"/>
      <w:sz w:val="24"/>
      <w:szCs w:val="24"/>
    </w:rPr>
  </w:style>
  <w:style w:type="character" w:styleId="Emphasis">
    <w:name w:val="Emphasis"/>
    <w:basedOn w:val="DefaultParagraphFont"/>
    <w:uiPriority w:val="20"/>
    <w:qFormat/>
    <w:rsid w:val="00531C12"/>
    <w:rPr>
      <w:i/>
      <w:iCs/>
    </w:rPr>
  </w:style>
  <w:style w:type="paragraph" w:styleId="BalloonText">
    <w:name w:val="Balloon Text"/>
    <w:basedOn w:val="Normal"/>
    <w:link w:val="BalloonTextChar"/>
    <w:uiPriority w:val="99"/>
    <w:semiHidden/>
    <w:unhideWhenUsed/>
    <w:rsid w:val="00531C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1C1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31C12"/>
    <w:pPr>
      <w:spacing w:before="100" w:beforeAutospacing="1" w:after="100" w:afterAutospacing="1" w:line="240" w:lineRule="auto"/>
      <w:outlineLvl w:val="0"/>
    </w:pPr>
    <w:rPr>
      <w:rFonts w:eastAsia="Times New Roman" w:cs="Times New Roman"/>
      <w:b/>
      <w:bCs/>
      <w:kern w:val="36"/>
      <w:sz w:val="48"/>
      <w:szCs w:val="48"/>
    </w:rPr>
  </w:style>
  <w:style w:type="paragraph" w:styleId="Heading2">
    <w:name w:val="heading 2"/>
    <w:basedOn w:val="Normal"/>
    <w:link w:val="Heading2Char"/>
    <w:uiPriority w:val="9"/>
    <w:qFormat/>
    <w:rsid w:val="00531C12"/>
    <w:pPr>
      <w:spacing w:before="100" w:beforeAutospacing="1" w:after="100" w:afterAutospacing="1" w:line="240" w:lineRule="auto"/>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1C12"/>
    <w:rPr>
      <w:rFonts w:eastAsia="Times New Roman" w:cs="Times New Roman"/>
      <w:b/>
      <w:bCs/>
      <w:kern w:val="36"/>
      <w:sz w:val="48"/>
      <w:szCs w:val="48"/>
    </w:rPr>
  </w:style>
  <w:style w:type="character" w:customStyle="1" w:styleId="Heading2Char">
    <w:name w:val="Heading 2 Char"/>
    <w:basedOn w:val="DefaultParagraphFont"/>
    <w:link w:val="Heading2"/>
    <w:uiPriority w:val="9"/>
    <w:rsid w:val="00531C12"/>
    <w:rPr>
      <w:rFonts w:eastAsia="Times New Roman" w:cs="Times New Roman"/>
      <w:b/>
      <w:bCs/>
      <w:sz w:val="36"/>
      <w:szCs w:val="36"/>
    </w:rPr>
  </w:style>
  <w:style w:type="character" w:styleId="Strong">
    <w:name w:val="Strong"/>
    <w:basedOn w:val="DefaultParagraphFont"/>
    <w:uiPriority w:val="22"/>
    <w:qFormat/>
    <w:rsid w:val="00531C12"/>
    <w:rPr>
      <w:b/>
      <w:bCs/>
    </w:rPr>
  </w:style>
  <w:style w:type="character" w:styleId="Hyperlink">
    <w:name w:val="Hyperlink"/>
    <w:basedOn w:val="DefaultParagraphFont"/>
    <w:uiPriority w:val="99"/>
    <w:semiHidden/>
    <w:unhideWhenUsed/>
    <w:rsid w:val="00531C12"/>
    <w:rPr>
      <w:color w:val="0000FF"/>
      <w:u w:val="single"/>
    </w:rPr>
  </w:style>
  <w:style w:type="character" w:customStyle="1" w:styleId="toctext">
    <w:name w:val="toctext"/>
    <w:basedOn w:val="DefaultParagraphFont"/>
    <w:rsid w:val="00531C12"/>
  </w:style>
  <w:style w:type="paragraph" w:styleId="NormalWeb">
    <w:name w:val="Normal (Web)"/>
    <w:basedOn w:val="Normal"/>
    <w:uiPriority w:val="99"/>
    <w:semiHidden/>
    <w:unhideWhenUsed/>
    <w:rsid w:val="00531C12"/>
    <w:pPr>
      <w:spacing w:before="100" w:beforeAutospacing="1" w:after="100" w:afterAutospacing="1" w:line="240" w:lineRule="auto"/>
    </w:pPr>
    <w:rPr>
      <w:rFonts w:eastAsia="Times New Roman" w:cs="Times New Roman"/>
      <w:sz w:val="24"/>
      <w:szCs w:val="24"/>
    </w:rPr>
  </w:style>
  <w:style w:type="character" w:styleId="Emphasis">
    <w:name w:val="Emphasis"/>
    <w:basedOn w:val="DefaultParagraphFont"/>
    <w:uiPriority w:val="20"/>
    <w:qFormat/>
    <w:rsid w:val="00531C12"/>
    <w:rPr>
      <w:i/>
      <w:iCs/>
    </w:rPr>
  </w:style>
  <w:style w:type="paragraph" w:styleId="BalloonText">
    <w:name w:val="Balloon Text"/>
    <w:basedOn w:val="Normal"/>
    <w:link w:val="BalloonTextChar"/>
    <w:uiPriority w:val="99"/>
    <w:semiHidden/>
    <w:unhideWhenUsed/>
    <w:rsid w:val="00531C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1C1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1735333">
      <w:bodyDiv w:val="1"/>
      <w:marLeft w:val="0"/>
      <w:marRight w:val="0"/>
      <w:marTop w:val="0"/>
      <w:marBottom w:val="0"/>
      <w:divBdr>
        <w:top w:val="none" w:sz="0" w:space="0" w:color="auto"/>
        <w:left w:val="none" w:sz="0" w:space="0" w:color="auto"/>
        <w:bottom w:val="none" w:sz="0" w:space="0" w:color="auto"/>
        <w:right w:val="none" w:sz="0" w:space="0" w:color="auto"/>
      </w:divBdr>
      <w:divsChild>
        <w:div w:id="708601958">
          <w:marLeft w:val="0"/>
          <w:marRight w:val="0"/>
          <w:marTop w:val="0"/>
          <w:marBottom w:val="0"/>
          <w:divBdr>
            <w:top w:val="none" w:sz="0" w:space="0" w:color="auto"/>
            <w:left w:val="none" w:sz="0" w:space="0" w:color="auto"/>
            <w:bottom w:val="none" w:sz="0" w:space="0" w:color="auto"/>
            <w:right w:val="none" w:sz="0" w:space="0" w:color="auto"/>
          </w:divBdr>
          <w:divsChild>
            <w:div w:id="253704414">
              <w:marLeft w:val="0"/>
              <w:marRight w:val="0"/>
              <w:marTop w:val="0"/>
              <w:marBottom w:val="0"/>
              <w:divBdr>
                <w:top w:val="none" w:sz="0" w:space="0" w:color="auto"/>
                <w:left w:val="none" w:sz="0" w:space="0" w:color="auto"/>
                <w:bottom w:val="none" w:sz="0" w:space="0" w:color="auto"/>
                <w:right w:val="none" w:sz="0" w:space="0" w:color="auto"/>
              </w:divBdr>
            </w:div>
          </w:divsChild>
        </w:div>
        <w:div w:id="1238827737">
          <w:marLeft w:val="0"/>
          <w:marRight w:val="0"/>
          <w:marTop w:val="150"/>
          <w:marBottom w:val="150"/>
          <w:divBdr>
            <w:top w:val="none" w:sz="0" w:space="0" w:color="auto"/>
            <w:left w:val="none" w:sz="0" w:space="0" w:color="auto"/>
            <w:bottom w:val="none" w:sz="0" w:space="0" w:color="auto"/>
            <w:right w:val="none" w:sz="0" w:space="0" w:color="auto"/>
          </w:divBdr>
          <w:divsChild>
            <w:div w:id="1780877968">
              <w:marLeft w:val="0"/>
              <w:marRight w:val="0"/>
              <w:marTop w:val="0"/>
              <w:marBottom w:val="180"/>
              <w:divBdr>
                <w:top w:val="none" w:sz="0" w:space="0" w:color="auto"/>
                <w:left w:val="none" w:sz="0" w:space="0" w:color="auto"/>
                <w:bottom w:val="none" w:sz="0" w:space="0" w:color="auto"/>
                <w:right w:val="none" w:sz="0" w:space="0" w:color="auto"/>
              </w:divBdr>
              <w:divsChild>
                <w:div w:id="193875526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9539455">
          <w:marLeft w:val="0"/>
          <w:marRight w:val="0"/>
          <w:marTop w:val="0"/>
          <w:marBottom w:val="0"/>
          <w:divBdr>
            <w:top w:val="none" w:sz="0" w:space="0" w:color="auto"/>
            <w:left w:val="none" w:sz="0" w:space="0" w:color="auto"/>
            <w:bottom w:val="none" w:sz="0" w:space="0" w:color="auto"/>
            <w:right w:val="none" w:sz="0" w:space="0" w:color="auto"/>
          </w:divBdr>
          <w:divsChild>
            <w:div w:id="1240360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Quyen-dan-su/Nghi-dinh-123-2015-ND-CP-huong-dan-Luat-ho-tich-282304.aspx?anchor=chuong_3"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thuvienphapluat.vn/van-ban/Bo-may-hanh-chinh/Nghi-dinh-07-2025-ND-CP-sua-doi-Nghi-dinh-trong-linh-vuc-ho-tich-quoc-tich-chung-thuc-639918.aspx?anchor=dieu_2" TargetMode="External"/><Relationship Id="rId12" Type="http://schemas.openxmlformats.org/officeDocument/2006/relationships/hyperlink" Target="https://thuvienphapluat.vn/van-ban/Quyen-dan-su/Luat-Ho-tich-2014-259727.aspx?anchor=dieu_9" TargetMode="Externa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hyperlink" Target="https://thuvienphapluat.vn/van-ban/Bo-may-hanh-chinh/Nghi-dinh-07-2025-ND-CP-sua-doi-Nghi-dinh-trong-linh-vuc-ho-tich-quoc-tich-chung-thuc-639918.aspx" TargetMode="External"/><Relationship Id="rId11" Type="http://schemas.openxmlformats.org/officeDocument/2006/relationships/hyperlink" Target="https://thuvienphapluat.vn/van-ban/Bo-may-hanh-chinh/Nghi-dinh-07-2025-ND-CP-sua-doi-Nghi-dinh-trong-linh-vuc-ho-tich-quoc-tich-chung-thuc-639918.aspx" TargetMode="External"/><Relationship Id="rId5" Type="http://schemas.openxmlformats.org/officeDocument/2006/relationships/webSettings" Target="webSettings.xml"/><Relationship Id="rId15" Type="http://schemas.openxmlformats.org/officeDocument/2006/relationships/customXml" Target="../customXml/item1.xml"/><Relationship Id="rId10" Type="http://schemas.openxmlformats.org/officeDocument/2006/relationships/hyperlink" Target="https://thuvienphapluat.vn/van-ban/Quyen-dan-su/Nghi-dinh-123-2015-ND-CP-huong-dan-Luat-ho-tich-282304.aspx?anchor=dieu_28" TargetMode="External"/><Relationship Id="rId4" Type="http://schemas.openxmlformats.org/officeDocument/2006/relationships/settings" Target="settings.xml"/><Relationship Id="rId9" Type="http://schemas.openxmlformats.org/officeDocument/2006/relationships/hyperlink" Target="https://thuvienphapluat.vn/van-ban/Quyen-dan-su/Bo-luat-dan-su-2015-296215.asp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82e0ddabf100326be7632081d10083fb">
  <xsd:schema xmlns:xsd="http://www.w3.org/2001/XMLSchema" xmlns:xs="http://www.w3.org/2001/XMLSchema" xmlns:p="http://schemas.microsoft.com/office/2006/metadata/properties" targetNamespace="http://schemas.microsoft.com/office/2006/metadata/properties" ma:root="true" ma:fieldsID="6486bee6e5d8fbc42cc88386ba023c8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2DAE462-C057-42E0-9157-BFE8B5B8FEA2}"/>
</file>

<file path=customXml/itemProps2.xml><?xml version="1.0" encoding="utf-8"?>
<ds:datastoreItem xmlns:ds="http://schemas.openxmlformats.org/officeDocument/2006/customXml" ds:itemID="{74E884AF-D531-40B8-9FEC-59FB6DAD0953}"/>
</file>

<file path=customXml/itemProps3.xml><?xml version="1.0" encoding="utf-8"?>
<ds:datastoreItem xmlns:ds="http://schemas.openxmlformats.org/officeDocument/2006/customXml" ds:itemID="{933558F0-A004-4C45-86C0-3E7E7B2D9B0C}"/>
</file>

<file path=docProps/app.xml><?xml version="1.0" encoding="utf-8"?>
<Properties xmlns="http://schemas.openxmlformats.org/officeDocument/2006/extended-properties" xmlns:vt="http://schemas.openxmlformats.org/officeDocument/2006/docPropsVTypes">
  <Template>Normal</Template>
  <TotalTime>1</TotalTime>
  <Pages>2</Pages>
  <Words>640</Words>
  <Characters>3649</Characters>
  <Application>Microsoft Office Word</Application>
  <DocSecurity>0</DocSecurity>
  <Lines>30</Lines>
  <Paragraphs>8</Paragraphs>
  <ScaleCrop>false</ScaleCrop>
  <Company/>
  <LinksUpToDate>false</LinksUpToDate>
  <CharactersWithSpaces>4281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2025-02-17T02:14:00Z</dcterms:created>
  <dcterms:modified xsi:type="dcterms:W3CDTF">2025-02-17T02:15:00Z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